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07" w:rsidRPr="00964FEF" w:rsidRDefault="00190F07" w:rsidP="00190F07">
      <w:pPr>
        <w:pStyle w:val="ListeParagraf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</w:t>
      </w:r>
    </w:p>
    <w:p w:rsidR="00190F07" w:rsidRPr="00A47308" w:rsidRDefault="00190F07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proofErr w:type="gramStart"/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prosedürün</w:t>
      </w:r>
      <w:proofErr w:type="gramEnd"/>
      <w:r w:rsidR="002F76E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amacı,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Tokat Gaziosmanpaşa Üniversitesinde ISO 9001 Kalite Yönetim Sisteminin eksiksiz bir şekilde uygulanmasını sağlamak üzere hayata geçirilecek tüm süreçlerde, uygunsuzluğa yol açan ana nedenleri belirlemek, nedenleri ortadan kaldırmak için düzeltici </w:t>
      </w:r>
      <w:r w:rsidR="002F76E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iyileştirici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faaliyetleri planlamak, uygulamak, yürütmek ve kontrol etmek, hataya yol açan konuların ortadan kaldırılması ile muhtemel uygunsuzlukların önlenmesi için yapılacak düzeltici </w:t>
      </w:r>
      <w:r w:rsidR="002F76E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iyileştirici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faaliyetlerin kayıt altına alınmasını sağlamak ve sorumluları belirlemektir.</w:t>
      </w:r>
    </w:p>
    <w:p w:rsidR="00190F07" w:rsidRPr="00964FEF" w:rsidRDefault="00190F07" w:rsidP="00190F07">
      <w:pPr>
        <w:pStyle w:val="ListeParagraf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KAPSAM</w:t>
      </w:r>
    </w:p>
    <w:p w:rsidR="00190F07" w:rsidRPr="00964FEF" w:rsidRDefault="00190F07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Tokat Gaziosmanpaşa Üniversitesi Kalite Yönetim Sistemi kapsamındaki tüm süreçler ile ilgili potansiyel/mevcut uygunsuzlukların </w:t>
      </w:r>
      <w:r w:rsidR="00964FEF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düzeltici faaliyetler ile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giderilmesini </w:t>
      </w:r>
      <w:r w:rsidR="002F76E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iyileştirmelerin gerçekleştirilmesini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kapsar.</w:t>
      </w:r>
    </w:p>
    <w:p w:rsidR="00190F07" w:rsidRPr="00964FEF" w:rsidRDefault="00190F07" w:rsidP="00190F07">
      <w:pPr>
        <w:pStyle w:val="ListeParagraf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TANIMLAR</w:t>
      </w:r>
      <w:bookmarkStart w:id="0" w:name="_GoBack"/>
      <w:bookmarkEnd w:id="0"/>
    </w:p>
    <w:p w:rsidR="00190F07" w:rsidRPr="00964FEF" w:rsidRDefault="00190F07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Uygunsuzluk: 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Bir iş veya hizmette farkına varılan ve onun yerine getirilmesini, performansını olumsuz yönde etkileyen bir eksiklik, ihmal ya da yetersizlik.</w:t>
      </w: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Bir şartın yerine getirilmemesidir.</w:t>
      </w:r>
    </w:p>
    <w:p w:rsidR="002F76E7" w:rsidRDefault="00190F07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Düzeltici Faaliyet: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 Mevcut olan bir uygunsuzluğun bir daha oluşmaması için gerçekleştirilen eylemlerdir.</w:t>
      </w:r>
    </w:p>
    <w:p w:rsidR="002F76E7" w:rsidRPr="00A47308" w:rsidRDefault="002F76E7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73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İyileştirici Faaliyet: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Potansiyel uygunsuzluk nedenlerinin araştırılarak ortadan kaldırılması için yapılan çalışmalar ve etkinliklerdir.</w:t>
      </w:r>
    </w:p>
    <w:p w:rsidR="00190F07" w:rsidRPr="00964FEF" w:rsidRDefault="00190F07" w:rsidP="00190F07">
      <w:pPr>
        <w:pStyle w:val="ListeParagraf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SORUMLULAR</w:t>
      </w:r>
    </w:p>
    <w:p w:rsidR="00190F07" w:rsidRPr="00964FEF" w:rsidRDefault="00190F07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proofErr w:type="gramStart"/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prosedürün</w:t>
      </w:r>
      <w:proofErr w:type="gramEnd"/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uygulanmasından tüm </w:t>
      </w:r>
      <w:r w:rsidR="00033C4B"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</w:t>
      </w:r>
      <w:r w:rsidR="00033C4B"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sorumludur.</w:t>
      </w:r>
    </w:p>
    <w:p w:rsidR="00190F07" w:rsidRPr="00964FEF" w:rsidRDefault="00190F07" w:rsidP="00190F07">
      <w:pPr>
        <w:pStyle w:val="ListeParagraf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UYGULAMA</w:t>
      </w:r>
    </w:p>
    <w:p w:rsidR="00190F07" w:rsidRPr="00A47308" w:rsidRDefault="00190F07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r w:rsidR="00502B7E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 Gaziosmanpaşa Üniversitesi, iç tetkik, dış tetkik, gözlem, durum veya olay bildirimi, iç ve dış paydaş geri bildirimleri, performans değerlendirme sonuçları ve yasal şartlar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gib</w:t>
      </w:r>
      <w:r w:rsidR="00964FEF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bilgi kaynaklarını kullanarak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düzeltici </w:t>
      </w:r>
      <w:r w:rsidR="006273E0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iyileştirici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 </w:t>
      </w:r>
      <w:r w:rsidR="00033C4B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işlemi </w:t>
      </w:r>
      <w:r w:rsidR="00502B7E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başlatabilir.</w:t>
      </w:r>
    </w:p>
    <w:p w:rsidR="00190F07" w:rsidRPr="00964FEF" w:rsidRDefault="00304DA0" w:rsidP="00190F07">
      <w:pPr>
        <w:pStyle w:val="ListeParagraf"/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Düzeltici Faaliyet</w:t>
      </w:r>
      <w:r w:rsidR="000E15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Süreci</w:t>
      </w:r>
    </w:p>
    <w:p w:rsidR="00502B7E" w:rsidRPr="00964FEF" w:rsidRDefault="00502B7E" w:rsidP="0050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Uygunsuzluğun Bildirimi:</w:t>
      </w:r>
    </w:p>
    <w:p w:rsidR="00502B7E" w:rsidRPr="00964FEF" w:rsidRDefault="00502B7E" w:rsidP="009237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uygunsuzluk tespit edildiğinde, tespit eden birim veya kişi 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TOGÜ.FRM.439 Düzeltici Faaliyet Formunu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doldurur ve Kalite Koordinatörlüğüne (iso9001@gop.edu.tr) e-posta yoluyla iletir.</w:t>
      </w:r>
    </w:p>
    <w:p w:rsidR="006273E0" w:rsidRDefault="006273E0" w:rsidP="0050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2371F" w:rsidRPr="00964FEF" w:rsidRDefault="00502B7E" w:rsidP="0050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İnceleme ve Kayıt:</w:t>
      </w:r>
    </w:p>
    <w:p w:rsidR="00E77938" w:rsidRPr="00964FEF" w:rsidRDefault="00E77938" w:rsidP="00964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Uygunsuzluğu tespit eden birim veya kişi tarafından gönderilen </w:t>
      </w:r>
      <w:proofErr w:type="gramStart"/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</w:t>
      </w:r>
      <w:proofErr w:type="gramEnd"/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.439 Düzeltici Faaliyet Formu,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Koordinatörlüğü tarafından incelenir, </w:t>
      </w:r>
      <w:r w:rsidR="00964FEF"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(DF NO ile)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numaralandırılır ve düzeltici faaliyeti gerçekleştirecek birimin Birim Kalite Temsilcisine e-posta ile iletilir.</w:t>
      </w:r>
    </w:p>
    <w:p w:rsidR="00E77938" w:rsidRPr="00964FEF" w:rsidRDefault="00502B7E" w:rsidP="00E77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 Planlaması:</w:t>
      </w:r>
    </w:p>
    <w:p w:rsidR="00502B7E" w:rsidRPr="00964FEF" w:rsidRDefault="00E77938" w:rsidP="00E77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D83E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Düzeltici faaliyeti gerçekleştirecek birimin </w:t>
      </w:r>
      <w:r w:rsidR="00502B7E" w:rsidRPr="00D83E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 Kalite Temsilcisi, </w:t>
      </w:r>
      <w:r w:rsidR="00964FEF" w:rsidRPr="00D83E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Koordinatörlüğü tarafından iletilen </w:t>
      </w:r>
      <w:proofErr w:type="gramStart"/>
      <w:r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</w:t>
      </w:r>
      <w:proofErr w:type="gramEnd"/>
      <w:r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.439 Düzeltici Faaliyet Formunda</w:t>
      </w:r>
      <w:r w:rsidR="00964FEF"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ki</w:t>
      </w:r>
      <w:r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 w:rsidR="00964FEF"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“</w:t>
      </w:r>
      <w:r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düzeltici faaliyetin kök nedeni, yapılacak düzeltici faaliyet, sorumlu kişi</w:t>
      </w:r>
      <w:r w:rsidR="00964FEF"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”</w:t>
      </w:r>
      <w:r w:rsidR="002B2539"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ve </w:t>
      </w:r>
      <w:r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 w:rsidR="00964FEF"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“</w:t>
      </w:r>
      <w:r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öngörülen bitirme tarihi</w:t>
      </w:r>
      <w:r w:rsidR="00964FEF"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”</w:t>
      </w:r>
      <w:r w:rsidR="002B2539"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alanları</w:t>
      </w:r>
      <w:r w:rsidR="002B2539"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nı </w:t>
      </w:r>
      <w:r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doldurur. </w:t>
      </w:r>
      <w:r w:rsidR="00502B7E" w:rsidRPr="00D83E2D">
        <w:rPr>
          <w:rFonts w:ascii="Times New Roman" w:eastAsia="Times New Roman" w:hAnsi="Times New Roman" w:cs="Times New Roman"/>
          <w:sz w:val="24"/>
          <w:szCs w:val="24"/>
          <w:lang w:eastAsia="tr-TR"/>
        </w:rPr>
        <w:t>Form</w:t>
      </w:r>
      <w:r w:rsidRPr="00D83E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 </w:t>
      </w:r>
      <w:r w:rsidR="00502B7E" w:rsidRPr="00D83E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15 gün içinde Kalite Koordinatörlüğüne (iso9001@gop.edu.tr) </w:t>
      </w:r>
      <w:r w:rsidRPr="00D83E2D">
        <w:rPr>
          <w:rFonts w:ascii="Times New Roman" w:eastAsia="Times New Roman" w:hAnsi="Times New Roman" w:cs="Times New Roman"/>
          <w:sz w:val="24"/>
          <w:szCs w:val="24"/>
          <w:lang w:eastAsia="tr-TR"/>
        </w:rPr>
        <w:t>iletir.</w:t>
      </w:r>
    </w:p>
    <w:p w:rsidR="002B2539" w:rsidRPr="00964FEF" w:rsidRDefault="00502B7E" w:rsidP="0050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Bilgilendirme ve Süreç Takibi:</w:t>
      </w:r>
    </w:p>
    <w:p w:rsidR="00502B7E" w:rsidRPr="00964FEF" w:rsidRDefault="00502B7E" w:rsidP="002B2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Koordinatörlüğü, </w:t>
      </w:r>
      <w:r w:rsid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düzeltici faaliyeti gerçekleştirecek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 tarafından bildirilen düzeltici faaliyet </w:t>
      </w:r>
      <w:r w:rsid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bilgisini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ve öngörülen tamamlanma tarihini</w:t>
      </w:r>
      <w:r w:rsidR="002B2539"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uygunsuzluğu tespit eden birime</w:t>
      </w:r>
      <w:r w:rsidR="002B2539"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/kişiye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iletir ve süreci </w:t>
      </w:r>
      <w:r w:rsidR="002B2539"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takip eder.</w:t>
      </w:r>
    </w:p>
    <w:p w:rsidR="002B2539" w:rsidRPr="00964FEF" w:rsidRDefault="00502B7E" w:rsidP="0050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Faaliyetin Tamamlanması:</w:t>
      </w:r>
    </w:p>
    <w:p w:rsidR="00502B7E" w:rsidRPr="00964FEF" w:rsidRDefault="002B2539" w:rsidP="002B2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Düzeltici faaliyeti gerçekleştirecek birim, </w:t>
      </w:r>
      <w:r w:rsidR="00502B7E"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düzeltici faaliyeti tamamladıktan sonra </w:t>
      </w:r>
      <w:proofErr w:type="gramStart"/>
      <w:r w:rsidRPr="00962EE9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</w:t>
      </w:r>
      <w:proofErr w:type="gramEnd"/>
      <w:r w:rsidRPr="00962EE9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.439 Düzeltici Faaliyet Formundaki </w:t>
      </w:r>
      <w:r w:rsidR="00502B7E"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>"</w:t>
      </w:r>
      <w:r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düzeltici faaliyetin </w:t>
      </w:r>
      <w:r w:rsidR="00502B7E"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tamamlanma durumu" ve "tamamlanma tarihi" </w:t>
      </w:r>
      <w:r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alanlarını </w:t>
      </w:r>
      <w:r w:rsidR="00502B7E"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doldurur. İlgili kanıt belgeleriyle birlikte Kalite Koordinatörlüğüne </w:t>
      </w:r>
      <w:r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(iso9001@gop.edu.tr) </w:t>
      </w:r>
      <w:r w:rsidR="00502B7E"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>iletir.</w:t>
      </w:r>
      <w:r w:rsidR="00304DA0"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Birimden düzeltici faaliyete ilişkin yanıt veya kanıt iletilmezse, Kalite Koordinatörlüğü tarafından </w:t>
      </w:r>
      <w:r w:rsidR="00962EE9"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birime </w:t>
      </w:r>
      <w:r w:rsidR="00304DA0"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>hatırlatma yapılır.</w:t>
      </w:r>
    </w:p>
    <w:p w:rsidR="00B84E27" w:rsidRPr="00964FEF" w:rsidRDefault="00502B7E" w:rsidP="0050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Faaliyetin Kapatılması:</w:t>
      </w:r>
    </w:p>
    <w:p w:rsidR="00502B7E" w:rsidRPr="00964FEF" w:rsidRDefault="00502B7E" w:rsidP="00B84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Koordinatörlüğü, uygunsuzluğu tespit e</w:t>
      </w:r>
      <w:r w:rsidR="00B84E27"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den birimi/kişiyi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bilgilendirir ve düzeltici faaliyet kaydını kapatır.</w:t>
      </w:r>
    </w:p>
    <w:p w:rsidR="00304DA0" w:rsidRPr="00964FEF" w:rsidRDefault="00502B7E" w:rsidP="0050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Süre Talebi:</w:t>
      </w:r>
    </w:p>
    <w:p w:rsidR="00502B7E" w:rsidRPr="00964FEF" w:rsidRDefault="00304DA0" w:rsidP="00304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>Düzeltici faaliyeti gerçekleştirecek b</w:t>
      </w:r>
      <w:r w:rsidR="00502B7E"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irim, </w:t>
      </w:r>
      <w:r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faaliyeti </w:t>
      </w:r>
      <w:r w:rsidR="00502B7E"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belirtilen sürede tamamlayamıyorsa</w:t>
      </w:r>
      <w:r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502B7E"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437B8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TOGÜ.FRM.439 Düzeltici Faaliyet Formundaki “</w:t>
      </w:r>
      <w:r w:rsidRPr="00D437B8">
        <w:rPr>
          <w:rFonts w:ascii="Times New Roman" w:hAnsi="Times New Roman" w:cs="Times New Roman"/>
          <w:sz w:val="24"/>
          <w:szCs w:val="24"/>
        </w:rPr>
        <w:t>düzeltici faaliyet içi</w:t>
      </w:r>
      <w:r w:rsidR="005763C2">
        <w:rPr>
          <w:rFonts w:ascii="Times New Roman" w:hAnsi="Times New Roman" w:cs="Times New Roman"/>
          <w:sz w:val="24"/>
          <w:szCs w:val="24"/>
        </w:rPr>
        <w:t xml:space="preserve">n talep edilen ek süre” alanını, </w:t>
      </w:r>
      <w:r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gerekçesini belirterek </w:t>
      </w:r>
      <w:r w:rsidRPr="00D437B8">
        <w:rPr>
          <w:rFonts w:ascii="Times New Roman" w:hAnsi="Times New Roman" w:cs="Times New Roman"/>
          <w:sz w:val="24"/>
          <w:szCs w:val="24"/>
        </w:rPr>
        <w:t xml:space="preserve">doldurur ve formu </w:t>
      </w:r>
      <w:r w:rsidR="00502B7E"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Koordinatörlüğüne </w:t>
      </w:r>
      <w:r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>(iso9001@gop.edu.tr) iletir</w:t>
      </w:r>
      <w:r w:rsidR="00502B7E"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04DA0" w:rsidRPr="00964FEF" w:rsidRDefault="00502B7E" w:rsidP="00502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Yeni Süreç Takibi:</w:t>
      </w:r>
    </w:p>
    <w:p w:rsidR="0014066E" w:rsidRDefault="00502B7E" w:rsidP="00964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Koordinatörlüğü, gerekçe ve yeni tarih bilgilerini uygunsuzluğu tespit eden birime</w:t>
      </w:r>
      <w:r w:rsidR="00304DA0"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/kişiye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iletir ve süreci takip eder.</w:t>
      </w:r>
    </w:p>
    <w:p w:rsidR="00A47308" w:rsidRDefault="00A47308" w:rsidP="00964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E1522" w:rsidRPr="000E1522" w:rsidRDefault="000E1522" w:rsidP="000E1522">
      <w:pPr>
        <w:pStyle w:val="ListeParagraf"/>
        <w:numPr>
          <w:ilvl w:val="1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 </w:t>
      </w:r>
      <w:r w:rsidRPr="000E152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İyileştirici Faaliyet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Süreci</w:t>
      </w:r>
    </w:p>
    <w:p w:rsidR="000E1522" w:rsidRPr="00964FEF" w:rsidRDefault="000E1522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İyileştirici Faaliyet Talebi </w:t>
      </w: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Bildirimi:</w:t>
      </w:r>
    </w:p>
    <w:p w:rsidR="000E1522" w:rsidRPr="002E7A8D" w:rsidRDefault="000E1522" w:rsidP="000E15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iyileştirici faaliyet ihtiyacı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tespit edildiğinde,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talep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eden birim veya kişi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TOGÜ.FRM.440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İyileştirici 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Faaliyet Formunu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doldurur ve Kalite Koordinatörlüğüne (iso9001@gop.edu.tr) e-posta yoluyla iletir.</w:t>
      </w:r>
    </w:p>
    <w:p w:rsidR="000E1522" w:rsidRPr="00964FEF" w:rsidRDefault="000E1522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İnceleme ve Kayıt:</w:t>
      </w:r>
    </w:p>
    <w:p w:rsidR="000E1522" w:rsidRPr="00964FEF" w:rsidRDefault="000E1522" w:rsidP="000E15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önderilen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.440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İyileştirici 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Faaliyet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Formu,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Koordinatörlüğü tarafından incelenir,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(İ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 NO ile) numaralandırılır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iyileştirici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faaliyeti gerçekleştirecek birimin Birim Kalite Temsilcisine e-posta ile iletilir.</w:t>
      </w:r>
    </w:p>
    <w:p w:rsidR="000E1522" w:rsidRPr="00964FEF" w:rsidRDefault="000E1522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 Planlaması:</w:t>
      </w:r>
    </w:p>
    <w:p w:rsidR="000E1522" w:rsidRPr="00964FEF" w:rsidRDefault="000E1522" w:rsidP="000E15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İyileştirici </w:t>
      </w:r>
      <w:r w:rsidRPr="00D83E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faaliyeti gerçekleştirecek birimin Birim Kalite Temsilcisi, Kalite Koordinatörlüğü tarafından iletilen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.440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İyileştirici 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Faaliyet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Formundaki “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yapılacak iyileştirici faaliyetin açıklaması, </w:t>
      </w:r>
      <w:r w:rsidRPr="00D83E2D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sorumlu kişi” ve  “öngörülen bitirme tarihi” alanlarını doldurur. </w:t>
      </w:r>
      <w:r w:rsidRPr="00D83E2D">
        <w:rPr>
          <w:rFonts w:ascii="Times New Roman" w:eastAsia="Times New Roman" w:hAnsi="Times New Roman" w:cs="Times New Roman"/>
          <w:sz w:val="24"/>
          <w:szCs w:val="24"/>
          <w:lang w:eastAsia="tr-TR"/>
        </w:rPr>
        <w:t>Formu 15 gün içinde Kalite Koordinatörlüğüne (iso9001@gop.edu.tr) iletir.</w:t>
      </w:r>
    </w:p>
    <w:p w:rsidR="000E1522" w:rsidRPr="00964FEF" w:rsidRDefault="000E1522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Bilgilendirme ve Süreç Takibi:</w:t>
      </w:r>
    </w:p>
    <w:p w:rsidR="000E1522" w:rsidRPr="00964FEF" w:rsidRDefault="000E1522" w:rsidP="000E15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Koordinatörlüğü,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iyileştirici faaliyeti gerçekleştirecek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 tarafından bildirilen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iyileştirici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bilgisini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öngörülen tamamlanma tarihini,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faaliyeti talep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eden birime/kişiye iletir ve süreci takip eder.</w:t>
      </w:r>
    </w:p>
    <w:p w:rsidR="000E1522" w:rsidRPr="00964FEF" w:rsidRDefault="000E1522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Faaliyetin Tamamlanması:</w:t>
      </w:r>
    </w:p>
    <w:p w:rsidR="000E1522" w:rsidRPr="00964FEF" w:rsidRDefault="000E1522" w:rsidP="000E15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İyileştirici </w:t>
      </w:r>
      <w:r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faaliyeti gerçekleştirecek birim,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iyileştirici </w:t>
      </w:r>
      <w:r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faaliyeti tamamladıktan sonra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.440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İyileştirici </w:t>
      </w:r>
      <w:r w:rsidRPr="00962EE9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Faaliyet Formundaki </w:t>
      </w:r>
      <w:r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iyileştirici </w:t>
      </w:r>
      <w:r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faaliyetin tamamlanma durumu" ve "tamamlanma tarihi" alanlarını doldurur. İlgili kanıt belgeleriyle birlikte Kalite Koordinatörlüğüne (iso9001@gop.edu.tr) iletir. Birimden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iyileştirici </w:t>
      </w:r>
      <w:r w:rsidRPr="00962EE9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faaliyete ilişkin yanıt veya kanıt iletilmezse, Kalite Koordinatörlüğü tarafından birime hatırlatma yapılır.</w:t>
      </w:r>
    </w:p>
    <w:p w:rsidR="000E1522" w:rsidRPr="00964FEF" w:rsidRDefault="000E1522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Faaliyetin Kapatılması:</w:t>
      </w:r>
    </w:p>
    <w:p w:rsidR="000E1522" w:rsidRPr="00964FEF" w:rsidRDefault="000E1522" w:rsidP="000E15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Koordinatörlüğü,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iyileştirici faaliyeti talep eden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birimi/kişiyi bilgilendirir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iyileştirici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 kaydını kapatır.</w:t>
      </w:r>
    </w:p>
    <w:p w:rsidR="00DC3111" w:rsidRDefault="00DC3111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C3111" w:rsidRDefault="00DC3111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C3111" w:rsidRDefault="00DC3111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0E1522" w:rsidRPr="00964FEF" w:rsidRDefault="000E1522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Ek Süre Talebi:</w:t>
      </w:r>
    </w:p>
    <w:p w:rsidR="000E1522" w:rsidRPr="00964FEF" w:rsidRDefault="000E1522" w:rsidP="000E15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İyileştirici </w:t>
      </w:r>
      <w:r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faaliyeti gerçekleştirecek birim, faaliyeti belirtilen sürede tamamlayamıyorsa,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TOGÜ.FRM.440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İyileştirici </w:t>
      </w:r>
      <w:r w:rsidRPr="00D437B8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Faaliyet Formundaki “</w:t>
      </w:r>
      <w:r>
        <w:rPr>
          <w:rFonts w:ascii="Times New Roman" w:hAnsi="Times New Roman" w:cs="Times New Roman"/>
          <w:sz w:val="24"/>
          <w:szCs w:val="24"/>
        </w:rPr>
        <w:t>iyileştirici</w:t>
      </w:r>
      <w:r w:rsidRPr="00D437B8">
        <w:rPr>
          <w:rFonts w:ascii="Times New Roman" w:hAnsi="Times New Roman" w:cs="Times New Roman"/>
          <w:sz w:val="24"/>
          <w:szCs w:val="24"/>
        </w:rPr>
        <w:t xml:space="preserve"> faaliyet içi</w:t>
      </w:r>
      <w:r>
        <w:rPr>
          <w:rFonts w:ascii="Times New Roman" w:hAnsi="Times New Roman" w:cs="Times New Roman"/>
          <w:sz w:val="24"/>
          <w:szCs w:val="24"/>
        </w:rPr>
        <w:t xml:space="preserve">n talep edilen ek süre” alanını, </w:t>
      </w:r>
      <w:r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gerekçesini belirterek </w:t>
      </w:r>
      <w:r w:rsidRPr="00D437B8">
        <w:rPr>
          <w:rFonts w:ascii="Times New Roman" w:hAnsi="Times New Roman" w:cs="Times New Roman"/>
          <w:sz w:val="24"/>
          <w:szCs w:val="24"/>
        </w:rPr>
        <w:t xml:space="preserve">doldurur ve formu </w:t>
      </w:r>
      <w:r w:rsidRPr="00D437B8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Koordinatörlüğüne (iso9001@gop.edu.tr) iletir.</w:t>
      </w:r>
    </w:p>
    <w:p w:rsidR="000E1522" w:rsidRPr="00964FEF" w:rsidRDefault="000E1522" w:rsidP="000E1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Yeni Süreç Takibi:</w:t>
      </w:r>
    </w:p>
    <w:p w:rsidR="000E1522" w:rsidRPr="000E1522" w:rsidRDefault="000E1522" w:rsidP="000E1522"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Koordinatörlüğü, gerekçe ve yeni tarih bilgilerini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iyileştirici faaliyeti talep 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eden birime/kişiye iletir ve süreci takip eder.</w:t>
      </w:r>
    </w:p>
    <w:p w:rsidR="00190F07" w:rsidRPr="00964FEF" w:rsidRDefault="00190F07" w:rsidP="00190F07">
      <w:pPr>
        <w:pStyle w:val="ListeParagraf"/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Standartlaştırma</w:t>
      </w:r>
    </w:p>
    <w:p w:rsidR="00190F07" w:rsidRPr="00A47308" w:rsidRDefault="00D437B8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Düzeltici </w:t>
      </w:r>
      <w:r w:rsidR="000E1522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iyileştirici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 sonrası kalite yönetim sisteminde bir değişikliğe gidilmesi durumunda (politika, dokümantasyon vb.), </w:t>
      </w:r>
      <w:r w:rsidR="00190F0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birim</w:t>
      </w:r>
      <w:r w:rsidR="006168A3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190F0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kalite temsilcisi, değişikliğin yapılmasını sağ</w:t>
      </w:r>
      <w:r w:rsidR="006168A3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lar ve Kalite Koordinatörlüğünü bilgilendirir</w:t>
      </w:r>
      <w:r w:rsidR="00190F0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964FEF" w:rsidRPr="00A47308" w:rsidRDefault="00964FEF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Koordinatörlüğü tüm birimler için açılan düzeltici </w:t>
      </w:r>
      <w:r w:rsidR="000E1522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iyileştirici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 forml</w:t>
      </w:r>
      <w:r w:rsidR="00190F0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arını </w:t>
      </w:r>
      <w:proofErr w:type="gramStart"/>
      <w:r w:rsidR="00190F0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TOGÜ.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LST</w:t>
      </w:r>
      <w:proofErr w:type="gramEnd"/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.003 </w:t>
      </w:r>
      <w:r w:rsidR="00190F0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Düzeltici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İyileştirici </w:t>
      </w:r>
      <w:r w:rsidR="00190F07"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 İzleme </w:t>
      </w: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Listesine kaydeder ve bu doküman ile takibini yapar.</w:t>
      </w:r>
    </w:p>
    <w:p w:rsidR="00190F07" w:rsidRPr="00A47308" w:rsidRDefault="00190F07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Kalite Koordinatörlüğü tüm bu </w:t>
      </w:r>
      <w:proofErr w:type="gramStart"/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>prosedürle</w:t>
      </w:r>
      <w:proofErr w:type="gramEnd"/>
      <w:r w:rsidRPr="00A473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belirlenen süreçlerin elektronik ortamda oluşturulması, paylaşılması, izlenmesi ve raporlanmasını sağlayacak alt yapının oluşturulması konusunda gerekli çalışmaları koordine eder.</w:t>
      </w:r>
    </w:p>
    <w:p w:rsidR="00190F07" w:rsidRPr="00964FEF" w:rsidRDefault="000E1522" w:rsidP="00190F07">
      <w:pPr>
        <w:pStyle w:val="ListeParagraf"/>
        <w:numPr>
          <w:ilvl w:val="1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90F07"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Kayıtlar</w:t>
      </w:r>
    </w:p>
    <w:p w:rsidR="00190F07" w:rsidRPr="00964FEF" w:rsidRDefault="00190F07" w:rsidP="00190F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Aksi belirtilmedikçe tüm kayıtlar </w:t>
      </w:r>
      <w:proofErr w:type="gramStart"/>
      <w:r w:rsidRPr="00964FEF">
        <w:rPr>
          <w:rFonts w:ascii="Times New Roman" w:hAnsi="Times New Roman" w:cs="Times New Roman"/>
          <w:sz w:val="24"/>
          <w:szCs w:val="24"/>
        </w:rPr>
        <w:t>TOGÜ.PRS</w:t>
      </w:r>
      <w:proofErr w:type="gramEnd"/>
      <w:r w:rsidRPr="00964FEF">
        <w:rPr>
          <w:rFonts w:ascii="Times New Roman" w:hAnsi="Times New Roman" w:cs="Times New Roman"/>
          <w:sz w:val="24"/>
          <w:szCs w:val="24"/>
        </w:rPr>
        <w:t xml:space="preserve">.001 Doküman Kontrolü ve Kayıt </w:t>
      </w:r>
      <w:r w:rsidR="005E73DC" w:rsidRPr="00964FEF">
        <w:rPr>
          <w:rFonts w:ascii="Times New Roman" w:hAnsi="Times New Roman" w:cs="Times New Roman"/>
          <w:sz w:val="24"/>
          <w:szCs w:val="24"/>
        </w:rPr>
        <w:t>Yönetimi Prosedürü</w:t>
      </w:r>
      <w:r w:rsidRPr="00964FEF">
        <w:rPr>
          <w:rFonts w:ascii="Times New Roman" w:eastAsia="Times New Roman" w:hAnsi="Times New Roman" w:cs="Times New Roman"/>
          <w:sz w:val="24"/>
          <w:szCs w:val="24"/>
          <w:lang w:eastAsia="tr-TR"/>
        </w:rPr>
        <w:t>nde tanımlandığı şekillerde muhafaza edilir.</w:t>
      </w:r>
    </w:p>
    <w:p w:rsidR="00190F07" w:rsidRPr="00964FEF" w:rsidRDefault="00190F07" w:rsidP="00190F07">
      <w:pPr>
        <w:pStyle w:val="ListeParagraf"/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964FE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İLGİLİ DOKÜMANLAR</w:t>
      </w:r>
    </w:p>
    <w:p w:rsidR="006168A3" w:rsidRDefault="006168A3" w:rsidP="006168A3">
      <w:pPr>
        <w:pStyle w:val="AralkYok"/>
        <w:rPr>
          <w:rFonts w:ascii="Times New Roman" w:hAnsi="Times New Roman" w:cs="Times New Roman"/>
          <w:sz w:val="24"/>
          <w:lang w:eastAsia="tr-TR"/>
        </w:rPr>
      </w:pPr>
      <w:proofErr w:type="gramStart"/>
      <w:r w:rsidRPr="006168A3">
        <w:rPr>
          <w:rFonts w:ascii="Times New Roman" w:hAnsi="Times New Roman" w:cs="Times New Roman"/>
          <w:sz w:val="24"/>
          <w:lang w:eastAsia="tr-TR"/>
        </w:rPr>
        <w:t>TOGÜ.FRM</w:t>
      </w:r>
      <w:proofErr w:type="gramEnd"/>
      <w:r w:rsidRPr="006168A3">
        <w:rPr>
          <w:rFonts w:ascii="Times New Roman" w:hAnsi="Times New Roman" w:cs="Times New Roman"/>
          <w:sz w:val="24"/>
          <w:lang w:eastAsia="tr-TR"/>
        </w:rPr>
        <w:t>.439 Düzeltici Faaliyet Formu</w:t>
      </w:r>
    </w:p>
    <w:p w:rsidR="000E1522" w:rsidRPr="006168A3" w:rsidRDefault="000E1522" w:rsidP="006168A3">
      <w:pPr>
        <w:pStyle w:val="AralkYok"/>
        <w:rPr>
          <w:rFonts w:ascii="Times New Roman" w:hAnsi="Times New Roman" w:cs="Times New Roman"/>
          <w:sz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TOGÜ.FRM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.440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İyileştirici 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Faaliyet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 w:rsidRPr="00964FEF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Formu</w:t>
      </w:r>
    </w:p>
    <w:p w:rsidR="006168A3" w:rsidRPr="006168A3" w:rsidRDefault="006168A3" w:rsidP="006168A3">
      <w:pPr>
        <w:pStyle w:val="AralkYok"/>
        <w:rPr>
          <w:rFonts w:ascii="Times New Roman" w:hAnsi="Times New Roman" w:cs="Times New Roman"/>
          <w:sz w:val="24"/>
          <w:lang w:eastAsia="tr-TR"/>
        </w:rPr>
      </w:pPr>
      <w:proofErr w:type="gramStart"/>
      <w:r w:rsidRPr="006168A3">
        <w:rPr>
          <w:rFonts w:ascii="Times New Roman" w:hAnsi="Times New Roman" w:cs="Times New Roman"/>
          <w:sz w:val="24"/>
          <w:lang w:eastAsia="tr-TR"/>
        </w:rPr>
        <w:t>TOGÜ.LST</w:t>
      </w:r>
      <w:proofErr w:type="gramEnd"/>
      <w:r w:rsidRPr="006168A3">
        <w:rPr>
          <w:rFonts w:ascii="Times New Roman" w:hAnsi="Times New Roman" w:cs="Times New Roman"/>
          <w:sz w:val="24"/>
          <w:lang w:eastAsia="tr-TR"/>
        </w:rPr>
        <w:t>.003 Düzeltici ve İyileştirici Faaliyet İzleme Listesi</w:t>
      </w:r>
    </w:p>
    <w:p w:rsidR="006168A3" w:rsidRPr="006168A3" w:rsidRDefault="006168A3" w:rsidP="006168A3">
      <w:pPr>
        <w:pStyle w:val="AralkYok"/>
        <w:rPr>
          <w:rFonts w:ascii="Times New Roman" w:hAnsi="Times New Roman" w:cs="Times New Roman"/>
          <w:sz w:val="24"/>
          <w:lang w:eastAsia="tr-TR"/>
        </w:rPr>
      </w:pPr>
      <w:proofErr w:type="gramStart"/>
      <w:r w:rsidRPr="006168A3">
        <w:rPr>
          <w:rFonts w:ascii="Times New Roman" w:hAnsi="Times New Roman" w:cs="Times New Roman"/>
          <w:sz w:val="24"/>
          <w:lang w:eastAsia="tr-TR"/>
        </w:rPr>
        <w:t>TOGÜ.PRS</w:t>
      </w:r>
      <w:proofErr w:type="gramEnd"/>
      <w:r w:rsidRPr="006168A3">
        <w:rPr>
          <w:rFonts w:ascii="Times New Roman" w:hAnsi="Times New Roman" w:cs="Times New Roman"/>
          <w:sz w:val="24"/>
          <w:lang w:eastAsia="tr-TR"/>
        </w:rPr>
        <w:t>.001 Doküman Kontrolü ve Kayıt Yönetimi Prosedürü</w:t>
      </w:r>
    </w:p>
    <w:p w:rsidR="00190F07" w:rsidRPr="00ED5EC8" w:rsidRDefault="006168A3" w:rsidP="00ED5EC8">
      <w:pPr>
        <w:pStyle w:val="AralkYok"/>
        <w:rPr>
          <w:rFonts w:ascii="Times New Roman" w:hAnsi="Times New Roman" w:cs="Times New Roman"/>
          <w:sz w:val="24"/>
          <w:lang w:eastAsia="tr-TR"/>
        </w:rPr>
      </w:pPr>
      <w:proofErr w:type="gramStart"/>
      <w:r w:rsidRPr="006168A3">
        <w:rPr>
          <w:rFonts w:ascii="Times New Roman" w:hAnsi="Times New Roman" w:cs="Times New Roman"/>
          <w:sz w:val="24"/>
          <w:lang w:eastAsia="tr-TR"/>
        </w:rPr>
        <w:t>TOGÜ.RHB</w:t>
      </w:r>
      <w:proofErr w:type="gramEnd"/>
      <w:r w:rsidRPr="006168A3">
        <w:rPr>
          <w:rFonts w:ascii="Times New Roman" w:hAnsi="Times New Roman" w:cs="Times New Roman"/>
          <w:sz w:val="24"/>
          <w:lang w:eastAsia="tr-TR"/>
        </w:rPr>
        <w:t>.001 Kalite Yönetim Sistemi Rehberi</w:t>
      </w:r>
    </w:p>
    <w:sectPr w:rsidR="00190F07" w:rsidRPr="00ED5E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C2" w:rsidRDefault="00BC72C2" w:rsidP="00F37745">
      <w:pPr>
        <w:spacing w:after="0" w:line="240" w:lineRule="auto"/>
      </w:pPr>
      <w:r>
        <w:separator/>
      </w:r>
    </w:p>
  </w:endnote>
  <w:endnote w:type="continuationSeparator" w:id="0">
    <w:p w:rsidR="00BC72C2" w:rsidRDefault="00BC72C2" w:rsidP="00F3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9067E8" w:rsidRPr="00374B10" w:rsidTr="009C68A2">
      <w:trPr>
        <w:trHeight w:val="397"/>
      </w:trPr>
      <w:tc>
        <w:tcPr>
          <w:tcW w:w="4531" w:type="dxa"/>
        </w:tcPr>
        <w:p w:rsidR="009067E8" w:rsidRPr="00374B10" w:rsidRDefault="009067E8" w:rsidP="009067E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szCs w:val="16"/>
              <w:lang w:eastAsia="tr-TR"/>
            </w:rPr>
          </w:pPr>
          <w:r w:rsidRPr="00374B10">
            <w:rPr>
              <w:rFonts w:ascii="Times New Roman" w:eastAsia="Calibri" w:hAnsi="Times New Roman" w:cs="Times New Roman"/>
              <w:b/>
              <w:szCs w:val="16"/>
              <w:lang w:eastAsia="tr-TR"/>
            </w:rPr>
            <w:t>Hazırlayan</w:t>
          </w:r>
        </w:p>
      </w:tc>
      <w:tc>
        <w:tcPr>
          <w:tcW w:w="4531" w:type="dxa"/>
        </w:tcPr>
        <w:p w:rsidR="009067E8" w:rsidRPr="00374B10" w:rsidRDefault="009067E8" w:rsidP="009067E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szCs w:val="16"/>
              <w:lang w:eastAsia="tr-TR"/>
            </w:rPr>
          </w:pPr>
          <w:r w:rsidRPr="00374B10">
            <w:rPr>
              <w:rFonts w:ascii="Times New Roman" w:eastAsia="Calibri" w:hAnsi="Times New Roman" w:cs="Times New Roman"/>
              <w:b/>
              <w:szCs w:val="16"/>
              <w:lang w:eastAsia="tr-TR"/>
            </w:rPr>
            <w:t>Onaylayan</w:t>
          </w:r>
        </w:p>
      </w:tc>
    </w:tr>
    <w:tr w:rsidR="009067E8" w:rsidRPr="00374B10" w:rsidTr="009C68A2">
      <w:trPr>
        <w:trHeight w:val="397"/>
      </w:trPr>
      <w:tc>
        <w:tcPr>
          <w:tcW w:w="4531" w:type="dxa"/>
        </w:tcPr>
        <w:p w:rsidR="009067E8" w:rsidRPr="00374B10" w:rsidRDefault="009067E8" w:rsidP="009067E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szCs w:val="16"/>
              <w:lang w:eastAsia="tr-TR"/>
            </w:rPr>
          </w:pPr>
          <w:r w:rsidRPr="00374B10">
            <w:rPr>
              <w:rFonts w:ascii="Times New Roman" w:eastAsia="Calibri" w:hAnsi="Times New Roman" w:cs="Times New Roman"/>
              <w:szCs w:val="16"/>
              <w:lang w:eastAsia="tr-TR"/>
            </w:rPr>
            <w:t>Kalite Koordinatörlüğü</w:t>
          </w:r>
        </w:p>
      </w:tc>
      <w:tc>
        <w:tcPr>
          <w:tcW w:w="4531" w:type="dxa"/>
        </w:tcPr>
        <w:p w:rsidR="009067E8" w:rsidRPr="00374B10" w:rsidRDefault="009067E8" w:rsidP="009067E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szCs w:val="16"/>
              <w:lang w:eastAsia="tr-TR"/>
            </w:rPr>
          </w:pPr>
          <w:r w:rsidRPr="00374B10">
            <w:rPr>
              <w:rFonts w:ascii="Times New Roman" w:eastAsia="Calibri" w:hAnsi="Times New Roman" w:cs="Times New Roman"/>
              <w:szCs w:val="16"/>
              <w:lang w:eastAsia="tr-TR"/>
            </w:rPr>
            <w:t>Kalite Koordinatörlüğü</w:t>
          </w:r>
        </w:p>
      </w:tc>
    </w:tr>
  </w:tbl>
  <w:p w:rsidR="009067E8" w:rsidRDefault="009067E8" w:rsidP="000F1AE4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</w:pPr>
  </w:p>
  <w:p w:rsidR="00D437B8" w:rsidRPr="000F1AE4" w:rsidRDefault="00D437B8" w:rsidP="000F1AE4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F1AE4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F1AE4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F1AE4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F1AE4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E772FA">
      <w:rPr>
        <w:rFonts w:ascii="Calibri" w:eastAsia="Calibri" w:hAnsi="Calibri" w:cs="Times New Roman"/>
        <w:color w:val="FF0000"/>
        <w:sz w:val="20"/>
        <w:szCs w:val="20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C2" w:rsidRDefault="00BC72C2" w:rsidP="00F37745">
      <w:pPr>
        <w:spacing w:after="0" w:line="240" w:lineRule="auto"/>
      </w:pPr>
      <w:r>
        <w:separator/>
      </w:r>
    </w:p>
  </w:footnote>
  <w:footnote w:type="continuationSeparator" w:id="0">
    <w:p w:rsidR="00BC72C2" w:rsidRDefault="00BC72C2" w:rsidP="00F3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0208" w:type="dxa"/>
      <w:tblLook w:val="04A0" w:firstRow="1" w:lastRow="0" w:firstColumn="1" w:lastColumn="0" w:noHBand="0" w:noVBand="1"/>
    </w:tblPr>
    <w:tblGrid>
      <w:gridCol w:w="1597"/>
      <w:gridCol w:w="5202"/>
      <w:gridCol w:w="1817"/>
      <w:gridCol w:w="1592"/>
    </w:tblGrid>
    <w:tr w:rsidR="00D437B8" w:rsidRPr="002212E8" w:rsidTr="00697AFE">
      <w:trPr>
        <w:trHeight w:val="297"/>
      </w:trPr>
      <w:tc>
        <w:tcPr>
          <w:tcW w:w="1597" w:type="dxa"/>
          <w:vMerge w:val="restart"/>
        </w:tcPr>
        <w:p w:rsidR="00D437B8" w:rsidRPr="002212E8" w:rsidRDefault="00D437B8" w:rsidP="00F37745">
          <w:pPr>
            <w:tabs>
              <w:tab w:val="center" w:pos="4536"/>
              <w:tab w:val="right" w:pos="9072"/>
            </w:tabs>
            <w:spacing w:before="60"/>
            <w:rPr>
              <w:rFonts w:ascii="Century Gothic" w:eastAsia="Century Gothic" w:hAnsi="Century Gothic"/>
            </w:rPr>
          </w:pPr>
          <w:r w:rsidRPr="00B46EA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2A5C2748" wp14:editId="2C5BCA93">
                <wp:extent cx="853440" cy="822960"/>
                <wp:effectExtent l="0" t="0" r="381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2" w:type="dxa"/>
          <w:vMerge w:val="restart"/>
        </w:tcPr>
        <w:p w:rsidR="00D437B8" w:rsidRPr="002212E8" w:rsidRDefault="00D437B8" w:rsidP="00F377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/>
              <w:b/>
            </w:rPr>
          </w:pPr>
        </w:p>
        <w:p w:rsidR="00D437B8" w:rsidRPr="004D0C5E" w:rsidRDefault="00D437B8" w:rsidP="00F37745">
          <w:pPr>
            <w:jc w:val="center"/>
            <w:rPr>
              <w:rFonts w:ascii="Times New Roman" w:eastAsia="Century Gothic" w:hAnsi="Times New Roman"/>
              <w:b/>
              <w:sz w:val="24"/>
              <w:szCs w:val="24"/>
            </w:rPr>
          </w:pPr>
          <w:r w:rsidRPr="004D0C5E">
            <w:rPr>
              <w:rFonts w:ascii="Times New Roman" w:eastAsia="Century Gothic" w:hAnsi="Times New Roman"/>
              <w:b/>
              <w:sz w:val="24"/>
              <w:szCs w:val="24"/>
            </w:rPr>
            <w:t xml:space="preserve">T.C. </w:t>
          </w:r>
        </w:p>
        <w:p w:rsidR="00D437B8" w:rsidRPr="004D0C5E" w:rsidRDefault="00D437B8" w:rsidP="00F37745">
          <w:pPr>
            <w:jc w:val="center"/>
            <w:rPr>
              <w:rFonts w:ascii="Century Gothic" w:eastAsia="Century Gothic" w:hAnsi="Century Gothic"/>
              <w:sz w:val="24"/>
              <w:szCs w:val="24"/>
            </w:rPr>
          </w:pPr>
          <w:r>
            <w:rPr>
              <w:rFonts w:ascii="Times New Roman" w:eastAsia="Century Gothic" w:hAnsi="Times New Roman"/>
              <w:b/>
              <w:sz w:val="24"/>
              <w:szCs w:val="24"/>
            </w:rPr>
            <w:t xml:space="preserve">TOKAT GAZİOSMANPAŞA </w:t>
          </w:r>
          <w:r w:rsidRPr="004D0C5E">
            <w:rPr>
              <w:rFonts w:ascii="Times New Roman" w:eastAsia="Century Gothic" w:hAnsi="Times New Roman"/>
              <w:b/>
              <w:sz w:val="24"/>
              <w:szCs w:val="24"/>
            </w:rPr>
            <w:t xml:space="preserve">ÜNİVERSİTESİ </w:t>
          </w:r>
        </w:p>
        <w:p w:rsidR="00D437B8" w:rsidRPr="00450B90" w:rsidRDefault="00D437B8" w:rsidP="00450B90">
          <w:pPr>
            <w:tabs>
              <w:tab w:val="center" w:pos="2597"/>
              <w:tab w:val="center" w:pos="4536"/>
              <w:tab w:val="right" w:pos="9072"/>
            </w:tabs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ab/>
          </w:r>
          <w:r>
            <w:rPr>
              <w:rFonts w:ascii="Times New Roman" w:hAnsi="Times New Roman"/>
              <w:sz w:val="24"/>
              <w:szCs w:val="24"/>
            </w:rPr>
            <w:t>Uygunsuzluk ve Düzeltici Faaliyetler Prosedürü</w:t>
          </w:r>
        </w:p>
        <w:p w:rsidR="00D437B8" w:rsidRPr="002212E8" w:rsidRDefault="00D437B8" w:rsidP="00450B90">
          <w:pPr>
            <w:tabs>
              <w:tab w:val="center" w:pos="2597"/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7" w:type="dxa"/>
        </w:tcPr>
        <w:p w:rsidR="00D437B8" w:rsidRPr="002D40E2" w:rsidRDefault="00D437B8" w:rsidP="00F3774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592" w:type="dxa"/>
        </w:tcPr>
        <w:p w:rsidR="00D437B8" w:rsidRPr="002D40E2" w:rsidRDefault="00D437B8" w:rsidP="00F3774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TOGÜ.PRS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.004</w:t>
          </w:r>
        </w:p>
      </w:tc>
    </w:tr>
    <w:tr w:rsidR="00D437B8" w:rsidRPr="002212E8" w:rsidTr="00697AFE">
      <w:trPr>
        <w:trHeight w:val="297"/>
      </w:trPr>
      <w:tc>
        <w:tcPr>
          <w:tcW w:w="1597" w:type="dxa"/>
          <w:vMerge/>
        </w:tcPr>
        <w:p w:rsidR="00D437B8" w:rsidRPr="002212E8" w:rsidRDefault="00D437B8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02" w:type="dxa"/>
          <w:vMerge/>
        </w:tcPr>
        <w:p w:rsidR="00D437B8" w:rsidRPr="002212E8" w:rsidRDefault="00D437B8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7" w:type="dxa"/>
        </w:tcPr>
        <w:p w:rsidR="00D437B8" w:rsidRPr="002D40E2" w:rsidRDefault="00D437B8" w:rsidP="00F3774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592" w:type="dxa"/>
        </w:tcPr>
        <w:p w:rsidR="00D437B8" w:rsidRPr="002D40E2" w:rsidRDefault="00D437B8" w:rsidP="00D8683D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23.07.2024</w:t>
          </w:r>
        </w:p>
      </w:tc>
    </w:tr>
    <w:tr w:rsidR="00D437B8" w:rsidRPr="002212E8" w:rsidTr="00697AFE">
      <w:trPr>
        <w:trHeight w:val="313"/>
      </w:trPr>
      <w:tc>
        <w:tcPr>
          <w:tcW w:w="1597" w:type="dxa"/>
          <w:vMerge/>
        </w:tcPr>
        <w:p w:rsidR="00D437B8" w:rsidRPr="002212E8" w:rsidRDefault="00D437B8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02" w:type="dxa"/>
          <w:vMerge/>
        </w:tcPr>
        <w:p w:rsidR="00D437B8" w:rsidRPr="002212E8" w:rsidRDefault="00D437B8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7" w:type="dxa"/>
        </w:tcPr>
        <w:p w:rsidR="00D437B8" w:rsidRPr="002D40E2" w:rsidRDefault="00D437B8" w:rsidP="00F3774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592" w:type="dxa"/>
        </w:tcPr>
        <w:p w:rsidR="00D437B8" w:rsidRPr="002D40E2" w:rsidRDefault="006168A3" w:rsidP="006168A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14.05</w:t>
          </w:r>
          <w:r w:rsidR="00D437B8">
            <w:rPr>
              <w:rFonts w:ascii="Times New Roman" w:eastAsia="Century Gothic" w:hAnsi="Times New Roman"/>
              <w:sz w:val="20"/>
              <w:szCs w:val="20"/>
            </w:rPr>
            <w:t>.</w:t>
          </w:r>
          <w:r>
            <w:rPr>
              <w:rFonts w:ascii="Times New Roman" w:eastAsia="Century Gothic" w:hAnsi="Times New Roman"/>
              <w:sz w:val="20"/>
              <w:szCs w:val="20"/>
            </w:rPr>
            <w:t>2025</w:t>
          </w:r>
        </w:p>
      </w:tc>
    </w:tr>
    <w:tr w:rsidR="00D437B8" w:rsidRPr="002212E8" w:rsidTr="00697AFE">
      <w:trPr>
        <w:trHeight w:val="313"/>
      </w:trPr>
      <w:tc>
        <w:tcPr>
          <w:tcW w:w="1597" w:type="dxa"/>
          <w:vMerge/>
        </w:tcPr>
        <w:p w:rsidR="00D437B8" w:rsidRPr="002212E8" w:rsidRDefault="00D437B8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02" w:type="dxa"/>
          <w:vMerge/>
        </w:tcPr>
        <w:p w:rsidR="00D437B8" w:rsidRPr="002212E8" w:rsidRDefault="00D437B8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7" w:type="dxa"/>
        </w:tcPr>
        <w:p w:rsidR="00D437B8" w:rsidRPr="002D40E2" w:rsidRDefault="00D437B8" w:rsidP="00F3774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592" w:type="dxa"/>
        </w:tcPr>
        <w:p w:rsidR="00D437B8" w:rsidRPr="002D40E2" w:rsidRDefault="006168A3" w:rsidP="00F3774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D437B8" w:rsidRPr="002212E8" w:rsidTr="00697AFE">
      <w:trPr>
        <w:trHeight w:val="297"/>
      </w:trPr>
      <w:tc>
        <w:tcPr>
          <w:tcW w:w="1597" w:type="dxa"/>
          <w:vMerge/>
        </w:tcPr>
        <w:p w:rsidR="00D437B8" w:rsidRPr="002212E8" w:rsidRDefault="00D437B8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02" w:type="dxa"/>
          <w:vMerge/>
        </w:tcPr>
        <w:p w:rsidR="00D437B8" w:rsidRPr="002212E8" w:rsidRDefault="00D437B8" w:rsidP="00F3774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7" w:type="dxa"/>
        </w:tcPr>
        <w:p w:rsidR="00D437B8" w:rsidRPr="002D40E2" w:rsidRDefault="00D437B8" w:rsidP="00F3774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592" w:type="dxa"/>
        </w:tcPr>
        <w:p w:rsidR="00D437B8" w:rsidRPr="002D40E2" w:rsidRDefault="00D437B8" w:rsidP="0020074F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C68A2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0E1522">
            <w:rPr>
              <w:rFonts w:ascii="Times New Roman" w:eastAsia="Century Gothic" w:hAnsi="Times New Roman"/>
              <w:sz w:val="20"/>
              <w:szCs w:val="20"/>
            </w:rPr>
            <w:t>/4</w:t>
          </w:r>
        </w:p>
      </w:tc>
    </w:tr>
  </w:tbl>
  <w:p w:rsidR="00D437B8" w:rsidRDefault="00D437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A03"/>
    <w:multiLevelType w:val="hybridMultilevel"/>
    <w:tmpl w:val="4D4015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4786"/>
    <w:multiLevelType w:val="hybridMultilevel"/>
    <w:tmpl w:val="4BEC34A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25564"/>
    <w:multiLevelType w:val="hybridMultilevel"/>
    <w:tmpl w:val="5F9E9CE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2148B"/>
    <w:multiLevelType w:val="hybridMultilevel"/>
    <w:tmpl w:val="B5CAA704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0ED360B7"/>
    <w:multiLevelType w:val="hybridMultilevel"/>
    <w:tmpl w:val="405A1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C4F"/>
    <w:multiLevelType w:val="multilevel"/>
    <w:tmpl w:val="A92C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E5D64"/>
    <w:multiLevelType w:val="hybridMultilevel"/>
    <w:tmpl w:val="4112B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61432"/>
    <w:multiLevelType w:val="hybridMultilevel"/>
    <w:tmpl w:val="0F521B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A7B9E"/>
    <w:multiLevelType w:val="hybridMultilevel"/>
    <w:tmpl w:val="66728F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558B1"/>
    <w:multiLevelType w:val="multilevel"/>
    <w:tmpl w:val="9108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B65A6"/>
    <w:multiLevelType w:val="hybridMultilevel"/>
    <w:tmpl w:val="96469D4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DF76C4"/>
    <w:multiLevelType w:val="multilevel"/>
    <w:tmpl w:val="2124D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7661E86"/>
    <w:multiLevelType w:val="hybridMultilevel"/>
    <w:tmpl w:val="3E023DCC"/>
    <w:lvl w:ilvl="0" w:tplc="79A8B186">
      <w:start w:val="1"/>
      <w:numFmt w:val="upperLetter"/>
      <w:lvlText w:val="%1."/>
      <w:lvlJc w:val="left"/>
      <w:pPr>
        <w:ind w:left="526" w:hanging="29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tr-TR" w:eastAsia="en-US" w:bidi="ar-SA"/>
      </w:rPr>
    </w:lvl>
    <w:lvl w:ilvl="1" w:tplc="F5123A40">
      <w:start w:val="1"/>
      <w:numFmt w:val="decimal"/>
      <w:lvlText w:val="%2."/>
      <w:lvlJc w:val="left"/>
      <w:pPr>
        <w:ind w:left="51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tr-TR" w:eastAsia="en-US" w:bidi="ar-SA"/>
      </w:rPr>
    </w:lvl>
    <w:lvl w:ilvl="2" w:tplc="3A9851C4">
      <w:numFmt w:val="bullet"/>
      <w:lvlText w:val=""/>
      <w:lvlJc w:val="left"/>
      <w:pPr>
        <w:ind w:left="953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3" w:tplc="5FCEC1B0">
      <w:numFmt w:val="bullet"/>
      <w:lvlText w:val="•"/>
      <w:lvlJc w:val="left"/>
      <w:pPr>
        <w:ind w:left="2993" w:hanging="360"/>
      </w:pPr>
      <w:rPr>
        <w:rFonts w:hint="default"/>
        <w:lang w:val="tr-TR" w:eastAsia="en-US" w:bidi="ar-SA"/>
      </w:rPr>
    </w:lvl>
    <w:lvl w:ilvl="4" w:tplc="365A68F4">
      <w:numFmt w:val="bullet"/>
      <w:lvlText w:val="•"/>
      <w:lvlJc w:val="left"/>
      <w:pPr>
        <w:ind w:left="4010" w:hanging="360"/>
      </w:pPr>
      <w:rPr>
        <w:rFonts w:hint="default"/>
        <w:lang w:val="tr-TR" w:eastAsia="en-US" w:bidi="ar-SA"/>
      </w:rPr>
    </w:lvl>
    <w:lvl w:ilvl="5" w:tplc="DE8896E8">
      <w:numFmt w:val="bullet"/>
      <w:lvlText w:val="•"/>
      <w:lvlJc w:val="left"/>
      <w:pPr>
        <w:ind w:left="5027" w:hanging="360"/>
      </w:pPr>
      <w:rPr>
        <w:rFonts w:hint="default"/>
        <w:lang w:val="tr-TR" w:eastAsia="en-US" w:bidi="ar-SA"/>
      </w:rPr>
    </w:lvl>
    <w:lvl w:ilvl="6" w:tplc="D9288F9C">
      <w:numFmt w:val="bullet"/>
      <w:lvlText w:val="•"/>
      <w:lvlJc w:val="left"/>
      <w:pPr>
        <w:ind w:left="6044" w:hanging="360"/>
      </w:pPr>
      <w:rPr>
        <w:rFonts w:hint="default"/>
        <w:lang w:val="tr-TR" w:eastAsia="en-US" w:bidi="ar-SA"/>
      </w:rPr>
    </w:lvl>
    <w:lvl w:ilvl="7" w:tplc="BF162DA0">
      <w:numFmt w:val="bullet"/>
      <w:lvlText w:val="•"/>
      <w:lvlJc w:val="left"/>
      <w:pPr>
        <w:ind w:left="7060" w:hanging="360"/>
      </w:pPr>
      <w:rPr>
        <w:rFonts w:hint="default"/>
        <w:lang w:val="tr-TR" w:eastAsia="en-US" w:bidi="ar-SA"/>
      </w:rPr>
    </w:lvl>
    <w:lvl w:ilvl="8" w:tplc="9F68E322">
      <w:numFmt w:val="bullet"/>
      <w:lvlText w:val="•"/>
      <w:lvlJc w:val="left"/>
      <w:pPr>
        <w:ind w:left="8077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282C69E7"/>
    <w:multiLevelType w:val="hybridMultilevel"/>
    <w:tmpl w:val="223EF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22773"/>
    <w:multiLevelType w:val="hybridMultilevel"/>
    <w:tmpl w:val="558C30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33F0E"/>
    <w:multiLevelType w:val="multilevel"/>
    <w:tmpl w:val="719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C1D55"/>
    <w:multiLevelType w:val="multilevel"/>
    <w:tmpl w:val="0ADA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4398A"/>
    <w:multiLevelType w:val="hybridMultilevel"/>
    <w:tmpl w:val="5622F01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BE2CB8"/>
    <w:multiLevelType w:val="multilevel"/>
    <w:tmpl w:val="50228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D005784"/>
    <w:multiLevelType w:val="hybridMultilevel"/>
    <w:tmpl w:val="4BA8FD24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0" w15:restartNumberingAfterBreak="0">
    <w:nsid w:val="3F991A66"/>
    <w:multiLevelType w:val="hybridMultilevel"/>
    <w:tmpl w:val="C3D082C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8852BD"/>
    <w:multiLevelType w:val="hybridMultilevel"/>
    <w:tmpl w:val="D166B23A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2" w15:restartNumberingAfterBreak="0">
    <w:nsid w:val="48BD5084"/>
    <w:multiLevelType w:val="multilevel"/>
    <w:tmpl w:val="83A492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0703F4"/>
    <w:multiLevelType w:val="multilevel"/>
    <w:tmpl w:val="C43E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15E3E"/>
    <w:multiLevelType w:val="hybridMultilevel"/>
    <w:tmpl w:val="60C85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E0511"/>
    <w:multiLevelType w:val="multilevel"/>
    <w:tmpl w:val="F85C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12FED"/>
    <w:multiLevelType w:val="hybridMultilevel"/>
    <w:tmpl w:val="E7402F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42147"/>
    <w:multiLevelType w:val="hybridMultilevel"/>
    <w:tmpl w:val="A2261C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22B02"/>
    <w:multiLevelType w:val="hybridMultilevel"/>
    <w:tmpl w:val="0C36B00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C5A3E4E"/>
    <w:multiLevelType w:val="hybridMultilevel"/>
    <w:tmpl w:val="CBE00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941AD"/>
    <w:multiLevelType w:val="hybridMultilevel"/>
    <w:tmpl w:val="867227C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1" w15:restartNumberingAfterBreak="0">
    <w:nsid w:val="606A0F6D"/>
    <w:multiLevelType w:val="hybridMultilevel"/>
    <w:tmpl w:val="E440F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D7397"/>
    <w:multiLevelType w:val="hybridMultilevel"/>
    <w:tmpl w:val="73D4EA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F0C58"/>
    <w:multiLevelType w:val="hybridMultilevel"/>
    <w:tmpl w:val="2F8200E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182D88"/>
    <w:multiLevelType w:val="hybridMultilevel"/>
    <w:tmpl w:val="A93292D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DD41D7"/>
    <w:multiLevelType w:val="hybridMultilevel"/>
    <w:tmpl w:val="8E42FAC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53EA9"/>
    <w:multiLevelType w:val="hybridMultilevel"/>
    <w:tmpl w:val="0EC637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C2063"/>
    <w:multiLevelType w:val="hybridMultilevel"/>
    <w:tmpl w:val="4C7E072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DE7C1A"/>
    <w:multiLevelType w:val="hybridMultilevel"/>
    <w:tmpl w:val="535E8F9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76401"/>
    <w:multiLevelType w:val="hybridMultilevel"/>
    <w:tmpl w:val="D54C4E3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39"/>
  </w:num>
  <w:num w:numId="4">
    <w:abstractNumId w:val="5"/>
  </w:num>
  <w:num w:numId="5">
    <w:abstractNumId w:val="38"/>
  </w:num>
  <w:num w:numId="6">
    <w:abstractNumId w:val="17"/>
  </w:num>
  <w:num w:numId="7">
    <w:abstractNumId w:val="2"/>
  </w:num>
  <w:num w:numId="8">
    <w:abstractNumId w:val="14"/>
  </w:num>
  <w:num w:numId="9">
    <w:abstractNumId w:val="33"/>
  </w:num>
  <w:num w:numId="10">
    <w:abstractNumId w:val="1"/>
  </w:num>
  <w:num w:numId="11">
    <w:abstractNumId w:val="20"/>
  </w:num>
  <w:num w:numId="12">
    <w:abstractNumId w:val="37"/>
  </w:num>
  <w:num w:numId="13">
    <w:abstractNumId w:val="10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35"/>
  </w:num>
  <w:num w:numId="19">
    <w:abstractNumId w:val="26"/>
  </w:num>
  <w:num w:numId="20">
    <w:abstractNumId w:val="12"/>
  </w:num>
  <w:num w:numId="21">
    <w:abstractNumId w:val="4"/>
  </w:num>
  <w:num w:numId="22">
    <w:abstractNumId w:val="22"/>
  </w:num>
  <w:num w:numId="23">
    <w:abstractNumId w:val="8"/>
  </w:num>
  <w:num w:numId="24">
    <w:abstractNumId w:val="27"/>
  </w:num>
  <w:num w:numId="25">
    <w:abstractNumId w:val="36"/>
  </w:num>
  <w:num w:numId="26">
    <w:abstractNumId w:val="32"/>
  </w:num>
  <w:num w:numId="27">
    <w:abstractNumId w:val="0"/>
  </w:num>
  <w:num w:numId="28">
    <w:abstractNumId w:val="24"/>
  </w:num>
  <w:num w:numId="29">
    <w:abstractNumId w:val="21"/>
  </w:num>
  <w:num w:numId="30">
    <w:abstractNumId w:val="30"/>
  </w:num>
  <w:num w:numId="31">
    <w:abstractNumId w:val="19"/>
  </w:num>
  <w:num w:numId="32">
    <w:abstractNumId w:val="3"/>
  </w:num>
  <w:num w:numId="33">
    <w:abstractNumId w:val="31"/>
  </w:num>
  <w:num w:numId="34">
    <w:abstractNumId w:val="13"/>
  </w:num>
  <w:num w:numId="35">
    <w:abstractNumId w:val="29"/>
  </w:num>
  <w:num w:numId="36">
    <w:abstractNumId w:val="6"/>
  </w:num>
  <w:num w:numId="37">
    <w:abstractNumId w:val="16"/>
  </w:num>
  <w:num w:numId="38">
    <w:abstractNumId w:val="25"/>
  </w:num>
  <w:num w:numId="39">
    <w:abstractNumId w:val="18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45"/>
    <w:rsid w:val="00003B3F"/>
    <w:rsid w:val="00006C2E"/>
    <w:rsid w:val="000263AE"/>
    <w:rsid w:val="00033C4B"/>
    <w:rsid w:val="00040C75"/>
    <w:rsid w:val="00052CC4"/>
    <w:rsid w:val="00096234"/>
    <w:rsid w:val="000A0A71"/>
    <w:rsid w:val="000A0CE1"/>
    <w:rsid w:val="000A16DF"/>
    <w:rsid w:val="000A35E7"/>
    <w:rsid w:val="000B214A"/>
    <w:rsid w:val="000B242C"/>
    <w:rsid w:val="000B403D"/>
    <w:rsid w:val="000C0C7A"/>
    <w:rsid w:val="000C34F8"/>
    <w:rsid w:val="000C7FA5"/>
    <w:rsid w:val="000E0031"/>
    <w:rsid w:val="000E1522"/>
    <w:rsid w:val="000E3213"/>
    <w:rsid w:val="000F1AE4"/>
    <w:rsid w:val="000F2F10"/>
    <w:rsid w:val="00120AC5"/>
    <w:rsid w:val="001314EE"/>
    <w:rsid w:val="0014066E"/>
    <w:rsid w:val="001468A2"/>
    <w:rsid w:val="00146A12"/>
    <w:rsid w:val="00155EDD"/>
    <w:rsid w:val="00190F07"/>
    <w:rsid w:val="001A2DC6"/>
    <w:rsid w:val="001C277B"/>
    <w:rsid w:val="001C3F0E"/>
    <w:rsid w:val="001D0639"/>
    <w:rsid w:val="001D6C1B"/>
    <w:rsid w:val="0020074F"/>
    <w:rsid w:val="00210696"/>
    <w:rsid w:val="00223785"/>
    <w:rsid w:val="002259AE"/>
    <w:rsid w:val="0023022C"/>
    <w:rsid w:val="00242E2D"/>
    <w:rsid w:val="002431BA"/>
    <w:rsid w:val="0027001D"/>
    <w:rsid w:val="002B2539"/>
    <w:rsid w:val="002B4314"/>
    <w:rsid w:val="002D1B09"/>
    <w:rsid w:val="002D1FB1"/>
    <w:rsid w:val="002F76E7"/>
    <w:rsid w:val="00304DA0"/>
    <w:rsid w:val="003051D5"/>
    <w:rsid w:val="003200C4"/>
    <w:rsid w:val="00321966"/>
    <w:rsid w:val="00333F84"/>
    <w:rsid w:val="00345BD9"/>
    <w:rsid w:val="0036453E"/>
    <w:rsid w:val="00382BAE"/>
    <w:rsid w:val="00386679"/>
    <w:rsid w:val="003A0BAC"/>
    <w:rsid w:val="003A0EEF"/>
    <w:rsid w:val="003A524A"/>
    <w:rsid w:val="003B0CC9"/>
    <w:rsid w:val="003B6EA5"/>
    <w:rsid w:val="003C7A59"/>
    <w:rsid w:val="003E1271"/>
    <w:rsid w:val="003E5218"/>
    <w:rsid w:val="00431D2C"/>
    <w:rsid w:val="0043591A"/>
    <w:rsid w:val="00436174"/>
    <w:rsid w:val="00441005"/>
    <w:rsid w:val="004468C6"/>
    <w:rsid w:val="00450B90"/>
    <w:rsid w:val="00456B2B"/>
    <w:rsid w:val="00457551"/>
    <w:rsid w:val="004727CC"/>
    <w:rsid w:val="0048576A"/>
    <w:rsid w:val="004862DC"/>
    <w:rsid w:val="00487742"/>
    <w:rsid w:val="004978F5"/>
    <w:rsid w:val="004A5A07"/>
    <w:rsid w:val="004D3428"/>
    <w:rsid w:val="004E23F2"/>
    <w:rsid w:val="0050030F"/>
    <w:rsid w:val="005026B3"/>
    <w:rsid w:val="00502B7E"/>
    <w:rsid w:val="005059DD"/>
    <w:rsid w:val="005117C4"/>
    <w:rsid w:val="00516394"/>
    <w:rsid w:val="00517E95"/>
    <w:rsid w:val="00552856"/>
    <w:rsid w:val="005653AF"/>
    <w:rsid w:val="0057025A"/>
    <w:rsid w:val="00572A5F"/>
    <w:rsid w:val="005763C2"/>
    <w:rsid w:val="00590BE3"/>
    <w:rsid w:val="005A5528"/>
    <w:rsid w:val="005B2D3D"/>
    <w:rsid w:val="005B3C8E"/>
    <w:rsid w:val="005E73DC"/>
    <w:rsid w:val="006069F2"/>
    <w:rsid w:val="00607D3E"/>
    <w:rsid w:val="00612E3C"/>
    <w:rsid w:val="00614175"/>
    <w:rsid w:val="006168A3"/>
    <w:rsid w:val="006176E2"/>
    <w:rsid w:val="006273E0"/>
    <w:rsid w:val="00636653"/>
    <w:rsid w:val="00637F51"/>
    <w:rsid w:val="00640792"/>
    <w:rsid w:val="00640D13"/>
    <w:rsid w:val="006427D0"/>
    <w:rsid w:val="0065646F"/>
    <w:rsid w:val="00686682"/>
    <w:rsid w:val="00691498"/>
    <w:rsid w:val="0069360B"/>
    <w:rsid w:val="00697AFE"/>
    <w:rsid w:val="006A251F"/>
    <w:rsid w:val="006B2760"/>
    <w:rsid w:val="006D7578"/>
    <w:rsid w:val="00704AC9"/>
    <w:rsid w:val="007224E7"/>
    <w:rsid w:val="00724E8B"/>
    <w:rsid w:val="007272AD"/>
    <w:rsid w:val="007329D4"/>
    <w:rsid w:val="0074344F"/>
    <w:rsid w:val="00750BD7"/>
    <w:rsid w:val="007568EA"/>
    <w:rsid w:val="007606FE"/>
    <w:rsid w:val="00776889"/>
    <w:rsid w:val="00781EC3"/>
    <w:rsid w:val="00785B71"/>
    <w:rsid w:val="007B41AF"/>
    <w:rsid w:val="007D38B8"/>
    <w:rsid w:val="007D46B5"/>
    <w:rsid w:val="00805045"/>
    <w:rsid w:val="008075C5"/>
    <w:rsid w:val="0081348D"/>
    <w:rsid w:val="00833A39"/>
    <w:rsid w:val="008424F2"/>
    <w:rsid w:val="00853B45"/>
    <w:rsid w:val="00864B73"/>
    <w:rsid w:val="00872BD7"/>
    <w:rsid w:val="00897B8C"/>
    <w:rsid w:val="008A6B20"/>
    <w:rsid w:val="008B5ED9"/>
    <w:rsid w:val="008F6B91"/>
    <w:rsid w:val="008F7DAA"/>
    <w:rsid w:val="0090375F"/>
    <w:rsid w:val="00904D31"/>
    <w:rsid w:val="009052EA"/>
    <w:rsid w:val="009067E8"/>
    <w:rsid w:val="0092371F"/>
    <w:rsid w:val="00931F00"/>
    <w:rsid w:val="009322E1"/>
    <w:rsid w:val="00936192"/>
    <w:rsid w:val="00962EE9"/>
    <w:rsid w:val="00964FEF"/>
    <w:rsid w:val="0097429F"/>
    <w:rsid w:val="00985C04"/>
    <w:rsid w:val="009928C5"/>
    <w:rsid w:val="009A3F51"/>
    <w:rsid w:val="009C68A2"/>
    <w:rsid w:val="009D22AD"/>
    <w:rsid w:val="009D254C"/>
    <w:rsid w:val="009D2B66"/>
    <w:rsid w:val="009F6EC8"/>
    <w:rsid w:val="00A03785"/>
    <w:rsid w:val="00A119C8"/>
    <w:rsid w:val="00A20821"/>
    <w:rsid w:val="00A32BD4"/>
    <w:rsid w:val="00A408AB"/>
    <w:rsid w:val="00A47308"/>
    <w:rsid w:val="00A5100B"/>
    <w:rsid w:val="00A57B62"/>
    <w:rsid w:val="00A75344"/>
    <w:rsid w:val="00A75E80"/>
    <w:rsid w:val="00A77620"/>
    <w:rsid w:val="00A93A9F"/>
    <w:rsid w:val="00AA7E6C"/>
    <w:rsid w:val="00AB1762"/>
    <w:rsid w:val="00AC279B"/>
    <w:rsid w:val="00AC3F59"/>
    <w:rsid w:val="00B06A79"/>
    <w:rsid w:val="00B2406A"/>
    <w:rsid w:val="00B3075F"/>
    <w:rsid w:val="00B40192"/>
    <w:rsid w:val="00B424CE"/>
    <w:rsid w:val="00B42FC4"/>
    <w:rsid w:val="00B46EA2"/>
    <w:rsid w:val="00B71A44"/>
    <w:rsid w:val="00B7733D"/>
    <w:rsid w:val="00B84E27"/>
    <w:rsid w:val="00B94C86"/>
    <w:rsid w:val="00BA63A4"/>
    <w:rsid w:val="00BA73CA"/>
    <w:rsid w:val="00BC64B2"/>
    <w:rsid w:val="00BC72C2"/>
    <w:rsid w:val="00BD58C4"/>
    <w:rsid w:val="00C41F2A"/>
    <w:rsid w:val="00C51DC1"/>
    <w:rsid w:val="00C54B25"/>
    <w:rsid w:val="00C7468E"/>
    <w:rsid w:val="00C76F7D"/>
    <w:rsid w:val="00C91B8A"/>
    <w:rsid w:val="00CB27C3"/>
    <w:rsid w:val="00CB29C0"/>
    <w:rsid w:val="00CC00C7"/>
    <w:rsid w:val="00CC1B84"/>
    <w:rsid w:val="00CC3B4B"/>
    <w:rsid w:val="00CD4A95"/>
    <w:rsid w:val="00CE6507"/>
    <w:rsid w:val="00CF5BE0"/>
    <w:rsid w:val="00D02B7E"/>
    <w:rsid w:val="00D17CF4"/>
    <w:rsid w:val="00D43321"/>
    <w:rsid w:val="00D43667"/>
    <w:rsid w:val="00D437B8"/>
    <w:rsid w:val="00D757A4"/>
    <w:rsid w:val="00D7586E"/>
    <w:rsid w:val="00D830DB"/>
    <w:rsid w:val="00D83E2D"/>
    <w:rsid w:val="00D8683D"/>
    <w:rsid w:val="00D90B40"/>
    <w:rsid w:val="00D93248"/>
    <w:rsid w:val="00DA3F6C"/>
    <w:rsid w:val="00DB3069"/>
    <w:rsid w:val="00DC030D"/>
    <w:rsid w:val="00DC0FE7"/>
    <w:rsid w:val="00DC3111"/>
    <w:rsid w:val="00DD586C"/>
    <w:rsid w:val="00DF1E71"/>
    <w:rsid w:val="00DF3854"/>
    <w:rsid w:val="00DF5534"/>
    <w:rsid w:val="00E0299A"/>
    <w:rsid w:val="00E0592C"/>
    <w:rsid w:val="00E24D5D"/>
    <w:rsid w:val="00E40BF7"/>
    <w:rsid w:val="00E57A77"/>
    <w:rsid w:val="00E772FA"/>
    <w:rsid w:val="00E77938"/>
    <w:rsid w:val="00E800BE"/>
    <w:rsid w:val="00E804AD"/>
    <w:rsid w:val="00E83B63"/>
    <w:rsid w:val="00E8582D"/>
    <w:rsid w:val="00E9187B"/>
    <w:rsid w:val="00E94A6D"/>
    <w:rsid w:val="00E95021"/>
    <w:rsid w:val="00EB0CDF"/>
    <w:rsid w:val="00EB3377"/>
    <w:rsid w:val="00EB6E49"/>
    <w:rsid w:val="00ED5EC8"/>
    <w:rsid w:val="00EE667E"/>
    <w:rsid w:val="00EF1C5D"/>
    <w:rsid w:val="00F0505E"/>
    <w:rsid w:val="00F0518C"/>
    <w:rsid w:val="00F1106B"/>
    <w:rsid w:val="00F3343B"/>
    <w:rsid w:val="00F37745"/>
    <w:rsid w:val="00F46C60"/>
    <w:rsid w:val="00F544E7"/>
    <w:rsid w:val="00F548A6"/>
    <w:rsid w:val="00F576C2"/>
    <w:rsid w:val="00F60BC3"/>
    <w:rsid w:val="00F73879"/>
    <w:rsid w:val="00F76EC4"/>
    <w:rsid w:val="00F76FBE"/>
    <w:rsid w:val="00F8594D"/>
    <w:rsid w:val="00FA4956"/>
    <w:rsid w:val="00FC59B0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765B"/>
  <w15:chartTrackingRefBased/>
  <w15:docId w15:val="{BBFD45F9-5330-4E32-B730-5D5346CA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B62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0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7745"/>
  </w:style>
  <w:style w:type="paragraph" w:styleId="AltBilgi">
    <w:name w:val="footer"/>
    <w:basedOn w:val="Normal"/>
    <w:link w:val="AltBilgiChar"/>
    <w:uiPriority w:val="99"/>
    <w:unhideWhenUsed/>
    <w:rsid w:val="00F3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7745"/>
  </w:style>
  <w:style w:type="table" w:styleId="TabloKlavuzu">
    <w:name w:val="Table Grid"/>
    <w:basedOn w:val="NormalTablo"/>
    <w:uiPriority w:val="39"/>
    <w:rsid w:val="00F3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4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7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0B40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0B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410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697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97AF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97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697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dcterms:created xsi:type="dcterms:W3CDTF">2023-07-26T07:06:00Z</dcterms:created>
  <dcterms:modified xsi:type="dcterms:W3CDTF">2025-05-14T07:43:00Z</dcterms:modified>
</cp:coreProperties>
</file>